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A868BD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8BD" w:rsidRDefault="00A8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 декабря 2005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68BD" w:rsidRDefault="00A8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592-ОЗ</w:t>
            </w:r>
          </w:p>
        </w:tc>
      </w:tr>
    </w:tbl>
    <w:p w:rsidR="00A868BD" w:rsidRDefault="00A868B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НОВГОРОДСКАЯ ОБЛАСТЬ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ОБЛАСТНОЙ ЗАКОН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РАСЧЕТЕ СУБВЕНЦИЙ БЮДЖЕТАМ МУНИЦИПАЛЬНЫХ РАЙОНОВ,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ГОРОДСКОГО ОКРУГА ДЛЯ ФИНАНСОВОГО ОБЕСПЕЧЕНИЯ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ГОСУДАРСТВЕННЫХ ПОЛНОМОЧИЙ ПО СОСТАВЛЕНИЮ (ИЗМЕНЕНИЮ,</w:t>
      </w:r>
      <w:proofErr w:type="gramEnd"/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ДОПОЛНЕНИЮ) СПИСКОВ КАНДИДАТОВ В ПРИСЯЖНЫЕ ЗАСЕДАТЕЛИ</w:t>
      </w:r>
      <w:proofErr w:type="gramEnd"/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ФЕДЕРАЛЬНЫХ СУДОВ ОБЩЕЙ ЮРИСДИКЦИИ В РОССИЙСКОЙ ФЕДЕРАЦИИ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Новгородской областной Думы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21.12.2005 N 1278-III ОД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областных законов Новгородской области</w:t>
      </w:r>
      <w:proofErr w:type="gramEnd"/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19.12.2008 </w:t>
      </w:r>
      <w:hyperlink r:id="rId5" w:history="1">
        <w:r>
          <w:rPr>
            <w:rFonts w:ascii="Calibri" w:hAnsi="Calibri" w:cs="Calibri"/>
            <w:color w:val="0000FF"/>
          </w:rPr>
          <w:t>N 432-ОЗ</w:t>
        </w:r>
      </w:hyperlink>
      <w:r>
        <w:rPr>
          <w:rFonts w:ascii="Calibri" w:hAnsi="Calibri" w:cs="Calibri"/>
        </w:rPr>
        <w:t xml:space="preserve">, от 05.05.2011 </w:t>
      </w:r>
      <w:hyperlink r:id="rId6" w:history="1">
        <w:r>
          <w:rPr>
            <w:rFonts w:ascii="Calibri" w:hAnsi="Calibri" w:cs="Calibri"/>
            <w:color w:val="0000FF"/>
          </w:rPr>
          <w:t>N 974-ОЗ</w:t>
        </w:r>
      </w:hyperlink>
      <w:r>
        <w:rPr>
          <w:rFonts w:ascii="Calibri" w:hAnsi="Calibri" w:cs="Calibri"/>
        </w:rPr>
        <w:t>)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Настоящий областной закон определяет расчет субвенции, предоставленной бюджетам муниципальных районов, городского округа по осуществлению государственных полномочий, переданных Федеральным </w:t>
      </w:r>
      <w:hyperlink r:id="rId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20 августа 2004 года N 113-ФЗ "О присяжных заседателях федеральных судов общей юрисдикции в Российской Федерации", по составлению (изменению, дополнению) списков кандидатов в присяжные заседатели федеральных судов общей юрисдикции в Российской Федерации.</w:t>
      </w:r>
      <w:proofErr w:type="gramEnd"/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4"/>
      <w:bookmarkEnd w:id="0"/>
      <w:r>
        <w:rPr>
          <w:rFonts w:ascii="Calibri" w:hAnsi="Calibri" w:cs="Calibri"/>
        </w:rPr>
        <w:t>Статья 1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Расчет субвенции на осуществление государственных полномочий, переданных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20 августа 2004 года N 113-ФЗ "О присяжных заседателях федеральных судов общей юрисдикции в Российской Федерации", по составлению (изменению, дополнению) списков кандидатов в присяжные заседатели федеральных судов общей юрисдикции в Российской Федерации бюджету муниципального района, городского округа производится в следующем порядке:</w:t>
      </w:r>
      <w:proofErr w:type="gramEnd"/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= (P x N + R) x k, где: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- объем субвенции, причитающейся бюджету муниципального района, городского округа;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 - количество кандидатов в присяжные заседатели;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N - </w:t>
      </w:r>
      <w:hyperlink r:id="rId9" w:history="1">
        <w:r>
          <w:rPr>
            <w:rFonts w:ascii="Calibri" w:hAnsi="Calibri" w:cs="Calibri"/>
            <w:color w:val="0000FF"/>
          </w:rPr>
          <w:t>норматив</w:t>
        </w:r>
      </w:hyperlink>
      <w:r>
        <w:rPr>
          <w:rFonts w:ascii="Calibri" w:hAnsi="Calibri" w:cs="Calibri"/>
        </w:rPr>
        <w:t xml:space="preserve"> финансовых затрат, предусмотренный Постановлением Правительства Российской Федерации от 23 мая 2005 года N 320 "Об утверждении правил финансового обеспечения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Федерации", включает в себя (на одного кандидата) канцелярские расходы - не более 10 рублей, почтовые расходы не более 50 рублей;</w:t>
      </w:r>
      <w:proofErr w:type="gramEnd"/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 - расходы, связанные с публикацией списков кандидатов в средствах массовой информации, исходя из расценок за один печатный лист;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 - коэффициент уровня инфляции в соответствии с федеральным законом о федеральном </w:t>
      </w:r>
      <w:r>
        <w:rPr>
          <w:rFonts w:ascii="Calibri" w:hAnsi="Calibri" w:cs="Calibri"/>
        </w:rPr>
        <w:lastRenderedPageBreak/>
        <w:t>бюджете на очередной финансовый год и на плановый период.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Областного </w:t>
      </w:r>
      <w:hyperlink r:id="rId1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Новгородской области от 05.05.2011 N 974-ОЗ)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Абзацы восьмой - одиннадцатый исключены. - Областной </w:t>
      </w:r>
      <w:hyperlink r:id="rId11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Новгородской области от 19.12.2008 N 432-ОЗ.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38"/>
      <w:bookmarkEnd w:id="1"/>
      <w:r>
        <w:rPr>
          <w:rFonts w:ascii="Calibri" w:hAnsi="Calibri" w:cs="Calibri"/>
        </w:rPr>
        <w:t>Статья 2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целевым использованием органами местного самоуправления муниципальных районов, городского округа предоставленных субвенций осуществляется в соответствии с действующим законодательством.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42"/>
      <w:bookmarkEnd w:id="2"/>
      <w:r>
        <w:rPr>
          <w:rFonts w:ascii="Calibri" w:hAnsi="Calibri" w:cs="Calibri"/>
        </w:rPr>
        <w:t>Статья 3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областной закон вступает в силу со дня, следующего за днем его официального опубликования, и распространяется на правоотношения, возникшие с 1 января 2006 года.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 области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М.М.ПРУСАК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Великий Новгород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29 декабря 2005 года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592-ОЗ</w:t>
      </w: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68BD" w:rsidRDefault="00A868B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6D47C3" w:rsidRDefault="006D47C3"/>
    <w:sectPr w:rsidR="006D47C3" w:rsidSect="00ED2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868BD"/>
    <w:rsid w:val="00031025"/>
    <w:rsid w:val="002B1982"/>
    <w:rsid w:val="006D47C3"/>
    <w:rsid w:val="00A8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F194F8E8B8BA4DD1A1273DDA99ABEDABDE87BAD592B6EE28F3BED92DBAADC58CDEBF6BD110E45r645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69F194F8E8B8BA4DD1A1273DDA99ABEDABDE87BAD592B6EE28F3BED92DBAADC58CDEBF6BD110E45r645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9F194F8E8B8BA4DD1A0C7ECBC5C5B6DFB5B571A65A2630BBD060B0C5D2A08B1F82B2B4F91C0F476CDD0BrF4AE" TargetMode="External"/><Relationship Id="rId11" Type="http://schemas.openxmlformats.org/officeDocument/2006/relationships/hyperlink" Target="consultantplus://offline/ref=D69F194F8E8B8BA4DD1A0C7ECBC5C5B6DFB5B571A7582931B7D060B0C5D2A08B1F82B2B4F91C0F476CDD0ArF46E" TargetMode="External"/><Relationship Id="rId5" Type="http://schemas.openxmlformats.org/officeDocument/2006/relationships/hyperlink" Target="consultantplus://offline/ref=D69F194F8E8B8BA4DD1A0C7ECBC5C5B6DFB5B571A7582931B7D060B0C5D2A08B1F82B2B4F91C0F476CDD0ArF46E" TargetMode="External"/><Relationship Id="rId10" Type="http://schemas.openxmlformats.org/officeDocument/2006/relationships/hyperlink" Target="consultantplus://offline/ref=D69F194F8E8B8BA4DD1A0C7ECBC5C5B6DFB5B571A65A2630BBD060B0C5D2A08B1F82B2B4F91C0F476CDD0BrF4A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69F194F8E8B8BA4DD1A1273DDA99ABED2BCEF7BA7537664EAD637EF95D4F5CB5F84E7F7BD110Fr44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Перцева Татьяна Николаевна</dc:creator>
  <cp:lastModifiedBy>Перцева Татьяна Николаевна</cp:lastModifiedBy>
  <cp:revision>1</cp:revision>
  <dcterms:created xsi:type="dcterms:W3CDTF">2014-10-07T04:56:00Z</dcterms:created>
  <dcterms:modified xsi:type="dcterms:W3CDTF">2014-10-07T04:57:00Z</dcterms:modified>
</cp:coreProperties>
</file>